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7DE3" w14:textId="77777777"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>z późn.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0" w:name="_Hlk100042083"/>
      <w:r w:rsidR="00951B93" w:rsidRPr="00951B93">
        <w:rPr>
          <w:bCs/>
        </w:rPr>
        <w:t>poz. 162 i 2105 oraz z 2022 r. poz. 24</w:t>
      </w:r>
      <w:bookmarkEnd w:id="0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="001E0B63">
        <w:rPr>
          <w:sz w:val="24"/>
          <w:szCs w:val="24"/>
        </w:rPr>
        <w:t>tj.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lastRenderedPageBreak/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</w:t>
      </w:r>
      <w:r w:rsidRPr="00630D49">
        <w:rPr>
          <w:sz w:val="24"/>
          <w:szCs w:val="24"/>
        </w:rPr>
        <w:lastRenderedPageBreak/>
        <w:t>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1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1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lastRenderedPageBreak/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</w:t>
      </w:r>
      <w:r w:rsidR="0090063A" w:rsidRPr="00630D49">
        <w:rPr>
          <w:sz w:val="24"/>
          <w:szCs w:val="24"/>
        </w:rPr>
        <w:lastRenderedPageBreak/>
        <w:t xml:space="preserve">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lastRenderedPageBreak/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</w:t>
      </w:r>
      <w:r w:rsidRPr="0079415D">
        <w:lastRenderedPageBreak/>
        <w:t>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</w:t>
      </w:r>
      <w:r w:rsidRPr="0079415D">
        <w:rPr>
          <w:sz w:val="24"/>
          <w:szCs w:val="24"/>
        </w:rPr>
        <w:lastRenderedPageBreak/>
        <w:t xml:space="preserve">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</w:t>
      </w:r>
      <w:r w:rsidRPr="0079415D">
        <w:rPr>
          <w:sz w:val="24"/>
          <w:szCs w:val="24"/>
        </w:rPr>
        <w:lastRenderedPageBreak/>
        <w:t xml:space="preserve">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wymaga każdorazowo poinformowania Zarządu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lastRenderedPageBreak/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opatrzona kwalifikowanym podpisem elektronicznym,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</w:t>
      </w:r>
      <w:r w:rsidRPr="0079415D">
        <w:rPr>
          <w:sz w:val="24"/>
          <w:szCs w:val="24"/>
        </w:rPr>
        <w:lastRenderedPageBreak/>
        <w:t>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Dz.Urz.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lastRenderedPageBreak/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B85F" w14:textId="77777777" w:rsidR="00606BA5" w:rsidRDefault="00606BA5" w:rsidP="00C90220">
      <w:r>
        <w:separator/>
      </w:r>
    </w:p>
    <w:p w14:paraId="4C3A1517" w14:textId="77777777" w:rsidR="00606BA5" w:rsidRDefault="00606BA5"/>
    <w:p w14:paraId="6B47E181" w14:textId="77777777" w:rsidR="00606BA5" w:rsidRDefault="00606BA5"/>
  </w:endnote>
  <w:endnote w:type="continuationSeparator" w:id="0">
    <w:p w14:paraId="6AD12C56" w14:textId="77777777" w:rsidR="00606BA5" w:rsidRDefault="00606BA5" w:rsidP="00C90220">
      <w:r>
        <w:continuationSeparator/>
      </w:r>
    </w:p>
    <w:p w14:paraId="759ECDAF" w14:textId="77777777" w:rsidR="00606BA5" w:rsidRDefault="00606BA5"/>
    <w:p w14:paraId="6845A8E2" w14:textId="77777777" w:rsidR="00606BA5" w:rsidRDefault="00606BA5"/>
  </w:endnote>
  <w:endnote w:type="continuationNotice" w:id="1">
    <w:p w14:paraId="12B81C6D" w14:textId="77777777" w:rsidR="00606BA5" w:rsidRDefault="00606BA5"/>
    <w:p w14:paraId="3C27409D" w14:textId="77777777" w:rsidR="00606BA5" w:rsidRDefault="00606BA5"/>
    <w:p w14:paraId="48E697A8" w14:textId="77777777" w:rsidR="00606BA5" w:rsidRDefault="00606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083F" w14:textId="5A9A3975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>
      <w:rPr>
        <w:rFonts w:ascii="Cambria" w:hAnsi="Cambria"/>
        <w:b/>
        <w:noProof/>
      </w:rPr>
      <w:t>20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r w:rsidR="00606BA5">
      <w:fldChar w:fldCharType="begin"/>
    </w:r>
    <w:r w:rsidR="00606BA5">
      <w:instrText>NUMPAGES  \* Arabic  \* MERGEFORMAT</w:instrText>
    </w:r>
    <w:r w:rsidR="00606BA5">
      <w:fldChar w:fldCharType="separate"/>
    </w:r>
    <w:r w:rsidRPr="00064BFD">
      <w:rPr>
        <w:rFonts w:ascii="Cambria" w:hAnsi="Cambria"/>
        <w:b/>
        <w:noProof/>
      </w:rPr>
      <w:t>23</w:t>
    </w:r>
    <w:r w:rsidR="00606BA5">
      <w:rPr>
        <w:rFonts w:ascii="Cambria" w:hAnsi="Cambria"/>
        <w:b/>
        <w:noProof/>
      </w:rPr>
      <w:fldChar w:fldCharType="end"/>
    </w:r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BEEB" w14:textId="77777777" w:rsidR="00606BA5" w:rsidRDefault="00606BA5" w:rsidP="00C90220">
      <w:r>
        <w:separator/>
      </w:r>
    </w:p>
    <w:p w14:paraId="336F37E1" w14:textId="77777777" w:rsidR="00606BA5" w:rsidRDefault="00606BA5"/>
    <w:p w14:paraId="4CBF8BE7" w14:textId="77777777" w:rsidR="00606BA5" w:rsidRDefault="00606BA5"/>
  </w:footnote>
  <w:footnote w:type="continuationSeparator" w:id="0">
    <w:p w14:paraId="68F5780F" w14:textId="77777777" w:rsidR="00606BA5" w:rsidRDefault="00606BA5" w:rsidP="00C90220">
      <w:r>
        <w:continuationSeparator/>
      </w:r>
    </w:p>
    <w:p w14:paraId="2C0BC8AB" w14:textId="77777777" w:rsidR="00606BA5" w:rsidRDefault="00606BA5"/>
    <w:p w14:paraId="5B1E0D34" w14:textId="77777777" w:rsidR="00606BA5" w:rsidRDefault="00606BA5"/>
  </w:footnote>
  <w:footnote w:type="continuationNotice" w:id="1">
    <w:p w14:paraId="71E9414E" w14:textId="77777777" w:rsidR="00606BA5" w:rsidRDefault="00606BA5"/>
    <w:p w14:paraId="1C7B4D3E" w14:textId="77777777" w:rsidR="00606BA5" w:rsidRDefault="00606BA5"/>
    <w:p w14:paraId="414EF966" w14:textId="77777777" w:rsidR="00606BA5" w:rsidRDefault="00606BA5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>Dotyczy przypadku, gdy kryteria wyboru operacji do finansowania określone przez LGD w ogłoszeniu o naborze wniosków o przyznanie pomocy premiowały operacje ukierunkowane na zaspokajanie potrzeb grup defaworyzowanych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46CB28-AC02-4C48-8B62-BFAC84083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8C58B-68A4-4129-B605-3D5E98791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9365</Words>
  <Characters>56194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65429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Schwartz Katarzyna</cp:lastModifiedBy>
  <cp:revision>9</cp:revision>
  <cp:lastPrinted>2022-06-15T11:36:00Z</cp:lastPrinted>
  <dcterms:created xsi:type="dcterms:W3CDTF">2022-06-06T07:54:00Z</dcterms:created>
  <dcterms:modified xsi:type="dcterms:W3CDTF">2022-06-15T11:41:00Z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